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vom 15.06.2021 bis zum 20.06.2023 in unserem Unternehmen in der Cybersicherheit am Standort Hamburg als Softwareentwickler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Softwareentwickler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Instandhaltung und Aktualisierung von Software-Systemen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Mitwirkung bei der Planung und Konzeption neuer Projekte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Code-Reviews und Implementierung von Best Practices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Problemlösung bei technischen Herausforderungen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Fehlerbehebung und Debugging von Code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Verfolgung neuester Technologietrends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zeigte, dass er über äußerst fundierte Fachkenntnisse verfügt, die er in seinem Aufgabengebiet stets erfolgreich einsetzte. Seine schnelle Auffassungsgabe und sein gutes Denkvermögen führten dazu, dass er sich schnell in die unterschiedlichsten Aufgabenfelder einarbeiten und diese zunehmend selbständiger bewältigen konnte. Wir möchten besonders seine Fähigkeit hervorheben, bei der Bewältigung seiner Aufgaben stets belastbar zu agieren. Auch bei sehr komplizierten Fällen sowie unter Zeitdruck arbeitete Herr Mustermann unbedingt zuverlässig. Er plante seine Arbeitsschritte immer sehr sorgfältig und äußerst verantwortungsbewusst. Die Arbeitsqualität lag jederzeit weit über den Anforderungen. Besonders hervorzuheben sind sein Ideenreichtum, seine Eigeninitiative und seine ausgezeichnete Arbeitsmoral. Herr Mustermann erbrachte permanent Spitzenleistungen, so dass wir mit seinen Erfolgen stets außerordentlich zufrieden waren. Die IT-Kenntnisse des Herrn Mustermann waren stets auf dem allerneuesten Stand. Er verfügt über ein ausgezeichnetes Verständnis für technische Zusammenhänge. Er verstand es stets, seine kreativen Fähigkeiten innovativ in die Praxis umzusetzen. Er nahm stets alle gebotenen Möglichkeiten zur beruflichen Weiterbildung intensiv und sehr erfolgreich wahr. Wir möchten sehr gerne seine sehr gute Arbeit für den Auftrag SentinelShield hervorheben.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Seine Verhaltensweise gegenüber Vorgesetzten, Kollegen und Mitarbeitern war stets sehr lobenswert. Sein persönliches Verhalten war stets vorbildlich. Bei unseren Kunden und Geschäftspartnern war er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unser Unternehmen auf eigenen Wunsch. Wir bekräftigen unsere sehr gute Beurteilung von Herrn Mustermann, indem wir ihm für seine Leistungen danken und sein Ausscheiden außerordentlich bedauern. Wir werden diesen wertvollen Mitarbeiter sehr vermissen und wünschen ihm für seine weitere Karriere alles Gute und weiterhin viel Erfolg. Wir können Herrn Mustermann absolut weiterempfehlen und stehen als Referenzgeber jederzeit gerne zur Verfügung.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