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 am 01.01.1990 in Hamburg, war zunächst vom 18.09.2020 bis zum 30.06.2023 in unserem Unternehmen als Service Mitarbeiter im Kundenservice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Bearbeitung von Kundenanfragen per Telefon, E-Mail oder Live-Chat</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Dokumentationen und Anleitung für Kunden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Reklamations- und Retourenabwicklungen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Regelmäßiger Austausch mit Kunden bezüglich neuer Produkte oder Aktionen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Unterstützung bei der Erstellung von Angeboten und Präsentationen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Unterstützung und Beratung von Handelspartnern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Schulung neuer Mitarbeiter im Kundenservice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Bestellung und Verwaltung von Verbrauchsmaterialien und Produkten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Er besitzt ein im Großen und Ganzen solides Fachkönnen. Aufgrund seiner Analysefähigkeiten und seiner Auffassungsgabe fand er oft ausreichende Lösungen, die er im Großen und Ganzen konsequent in die Praxis umsetzte. Auch unter Belastung bewältigte Herr Mustermann alle Aufgaben. Die Arbeitsweise von Herrn Mustermann war durch Gewissenhaftigkeit und Systematik gekennzeichnet. Er zeigte im Allgemeinen eine zufriedenstellende Arbeitsqualität. Er widmete sich seiner Arbeit mit Interesse und erzielte entsprechende Erfolge. Herr Mustermann war stets bemüht, den Anforderungen gerecht zu werden.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Das persönliche Verhalten von Herrn Mustermann war im Wesentlichen einwandfrei. Im Umgang mit Kunden verfügte Herr Mustermann über ein angemessenes Kommunikationsverhalten.</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Mit Wirkung zum 30.06.2023 wurde das Beschäftigungsverhältnis beendet. Wir danken ihm für seine Bemühungen und wünschen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