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Mariane Musterfrau, geboren am 13.08.1987 in Hamburg, trat am 06.05.1998 in unser Unternehmen ein und war bis zum 06.06.2023 als Krankenpflegerin bei uns in der Pflege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Musterfraus Aufgabenbereich als Krankenpflegerin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Vertrauensvolle Kommunikation mit Familienmitgliedern und anderen Betreuern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Patienten und Angehörigen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Hygienestandards und 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Verantwortung für die Material­wirtschaft und Pflege von medizinischen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Teilnahme an Fortbildungen und Schulungen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Verabreichung von Medikamenten und Injektionen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Feststellung von Bedarfen und Erarbeitung von Lösungsansätzen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der Vitalparameter</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Zusammenarbeit mit ehrenamtlichen Helfern und Organisationen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Während ihrer Tätigkeit in unserem Unternehmen zeigte Frau Musterfrau gute Fachkenntnisse. Frau Musterfrau besitzt ein solides Urteilsvermögen und konnte hinsichtlich ihrer Arbeitsabläufe gut durchdachte Anregungen machen und realisieren. Frau Musterfrau war oft belastbar und somit eine Hilfe für ihren Arbeitsbereich. Frau Musterfrau bearbeitete die wichtigen Aufgaben sorgfältig und systematisch. Die Arbeitsergebnisse von Frau Musterfrau waren von hoher Qualität. Frau Musterfrau zeigte eine stets zufriedenstellende Leistungsbereitschaft und war bereit, anfallende Überstunden zu leisten. Sie hat die Aufgaben ihrer Position zu unserer Zufriedenheit wahrgenommen. Aufgrund ihrer hohen Selbständigkeit qualifizierte sie sich auch für weiterführende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Gegenüber Vorgesetzten, Kollegen und Mitarbeitern war ihr Benehmen immer einwandfrei. Auch gegenüber externen Geschäftspartnern konnte Frau Musterfrau ihre fachlich und persönlich gewinnende Art erfolgreich einbringen und sich dabei – Dank ihres diplomatischen Geschicks – jederzeit flexibel auf wechselnde Ansprechpartner einstellen.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verlässt uns auf eigenen Wunsch zum 06.06.2023. Wir danken Frau Musterfrau für ihre in jeder Hinsicht solide Leistung. Wir können sie persönlich und fachlich empfehlen. Für ihren weiteren Berufs- und Lebensweg wünschen wir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06.06.2023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Philip Drengenberg</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Anna Weimer</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