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 am 01.01.1990 in Hamburg, war zunächst vom 18.09.2020 bis zum 30.06.2023 in unserem Unternehmen als Kellner im Service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Servieren von Speisen und Getränken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Kassenabrechnungen und Verwaltung von Geldern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Beratung von Gästen bei der Auswahl von Speisen und Getränken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von Hygienevorschriften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Überprüfen und Abrechnen von Bestellungen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Empfang und Betreuung von Gästen bei nächtlicher Anreise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Bereitstellung von Informationen über Sehenswürdigkeiten und Aktivitäten in der Umgebung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Herr Mustermann zeichnete sich bei der Bearbeitung seiner Aufgaben durch das notwendige Fachwissen aus. Aufgrund seiner Auffassungsgabe überblickte er einfache Arbeitsabläufe sofort. Auch bei hoher Arbeitsbelastung bemühte er sich, gute Arbeitsergebnisse zu erzielen. Grundsätzlich strebte Herr Mustermann Sorgfalt und Systematik bei seiner Arbeitsweise an. Arbeitsmenge und Arbeitstempo entsprachen den Erwartungen. Er widmete sich seiner Arbeit mit Interesse und erzielte entsprechende Erfolge. Er entsprach im Wesentlichen den Anforderungen.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Sein persönliches Verhalten genügte den Ansprüchen. Er wurde in unserem Unternehmen geschätzt. Die Wünsche unserer Kunden nahm er immer zur Kenntnis.</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Mit Wirkung zum 30.06.2023 wurde das Beschäftigungsverhältnis beendet. Wir wünschen Herrn Mustermann auch Erfolg für seinen beruflichen Lebensweg.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