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Kassiererin im Supermarkt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Kassenvorschriften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Begrüßung von Kunden und Gästen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von Lagerbeständen und Bestellprozessen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Bestellung des Kassenzubehörs sowie Kontrolle von Kassenbeständen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Werbekampagnen und Sonderaktionen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Unterlagen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internen Qualitäts- und Serviceleistungsstandards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Schulungen für Mitarbeiter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recht weit reichendes Fachwissen, welches sie in der Praxis erfolgreich einsetzte. Frau Musterfrau besitzt ein solides Urteilsvermögen und konnte hinsichtlich ihrer Arbeitsabläufe gut durchdachte Anregungen machen und realisieren. Frau Musterfrau war oft belastbar und somit eine Hilfe für ihren Arbeitsbereich. Frau Musterfrau hat ihre Aufgaben stets selbständig und mit einem großen Maß an Genauigkeit und Sorgfalt ausgeführt. Ihre Arbeitsleistung war voll zufriedenstellend. Frau Musterfrau hatte eine gute Arbeitsauffassung. Wir waren mit den Ergebnissen und der gezeigten Leistung von Frau Musterfrau jederzeit zufrieden. Durch den regelmäßigen Besuch betrieblicher Weiterbildungsveranstaltungen hielt sie ihre guten Kenntnisse erfolgreich auf dem neuesten Stand. Frau Musterfrau praktizierte stets eine ausgezeichnete Kommunikation auf allen Gesprächsebenen.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Benehmen immer einwandfrei. Ihre Art mit Kunden und Geschäftspartnern umzugehen, war vor allem geprägt von Sachlichkeit und Höflichkeit. Frau Musterfrau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30.06.2023. Mit dem Weggang von Frau Musterfrau verlässt uns ein tüchtige Mitarbeiterin, was wir bedauern. Wir danken ihr für ihre Arbeit und wünschen ihr für ihre Zukunft beruflich und privat alles Gute und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