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01.01.1995 in Hamburg, war vom 01.01.2020 bis zum 01.05.2022 als Grafikdesigner in unserem Unternehmen im Screendesign am Standort Hamburg eingesetzt.</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 Schwerpunkte von Herrn Mustermanns Tätigkeiten als Grafikdesigner gestalteten sich wie folgt:</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Layouts und Entwürfen für Werbemittel wie Plakate, Flyer, Prospekte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Kreative Konzeption und Gestaltung von Werbemitteln und Grafiken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Analyse von Trends und Entwicklungen im Designbereich</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Konzeption von Werbekampagnen und Marketingmaßnahmen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Optimierung von bestehenden Designs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Bildbearbeitung und Retusche von Fotos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Storyboards und visuellen Präsentationen, um das Designkonzept zu kommunizieren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Er beherrschte sein Arbeitsgebiet immer fachlich souverän und kannte sich mit allen Prozessen und Gegebenheiten des Unternehmens sehr gut aus. Herr Mustermann verbesserte und erweiterte seine ausgezeichneten praktischen Fähigkeiten stets in Eigeninitiative und mit sehr gutem Erfolg. Aufgrund seines guten Analyse- und Urteilsvermögens war Herr Mustermann vielseitig einsetzbar und überblickte auch komplexe Zusammenhänge vollständig. Auch in Stresssituationen erzielte Herr Mustermann stets sehr gute Leistungen in qualitativer und quantitativer Hinsicht und war auch stärkstem Arbeitsanfall jederzeit gewachsen. Die Arbeitsweise von Herrn Mustermann war stets gekennzeichnet durch großes Verantwortungsbewusstsein und große Gewissenhaftigkeit. Der hohe Standard seiner Arbeit fand stets unsere vollste Anerkennung. Wir möchten sehr gerne seine sehr gute Arbeit im Bereich Social Media Auftritt hervorheben. Seine Arbeitsmoral war stets ausgezeichnet. Er war ein im positiven Sinne ehrgeiziger Mitarbeiter. Herr Mustermann hat permanent Spitzenleistungen erbracht. Wir waren daher mit seinen Leistungen in höchstem Maße zufrieden. Die IT-Kenntnisse des Herrn Mustermann waren stets auf dem allerneuesten Stand. Hervorzuheben ist sein großes Interesse für technische Zusammenhänge, so hat er sich in Eigeninitiative umfassende technische Kenntnisse aneignen können. Er zeigte stets große Kreativität und Einfallsreichtum.</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Das Verhältnis zu Vorgesetzten, Kollegen und Mitarbeitern war stets sehr gut. Auch sein Verhalten gegenüber unseren Kunden war immer einwandfrei.</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Herr Mustermann verlässt uns auf eigenen Wunsch zum 01.05.2022. Wir können Herrn Mustermann sowohl fachlich als auch persönlich bestens empfehlen. Bei dieser Gelegenheit möchten wir Herrn Mustermann für seine exzellenten Leistungen danken. Die Zusammenarbeit mit ihm war stets angenehm und äußerst produktiv. Wir wünschen ihm für die Zukunft beruflich und persönlich alles Gute und weiterhin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01.05.2022</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Anna Weimer</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Philip Drengenberg</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