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Friseurin im Beautysalon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umfassende Farb- und Strähnentechniken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Make-up-Abwandlungen zur Anpassung an Veränderungen der Kundenvorstellungen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Kundenberatung und -betreuung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Rasur und Bartpflege bei männlichen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Organisation von Arbeitsmaterialien und -werkzeugen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Stylingkonzepten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Kundenbefragungen zur Zufriedenheit und Verbesserung des Services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war aufgrund ihrer Kompetenz stets in der Lage, die ihr übertragenen Aufgaben gut zu lösen. In schwierigen Situationen zeichnete Frau Musterfrau sich durch ihre Auffassungsgabe aus und fand daher gute Lösungen. Auch unter Belastung bewältigte Frau Musterfrau alle Aufgaben. Sie zeichnete sich durch eine selbständige Arbeitsweise und durch Effizienz aus. Frau Musterfrau zeigte stets eine durchschnittliche Arbeitsleistung. Frau Musterfrau war eine einsatzfreudige Mitarbeiterin, die stets Einsatzwillen zeigte. Frau Musterfrau erbrachte gute Leistungen. Wir waren daher mit ihren Arbeitserfolgen voll zufrieden. Frau Musterfrau hat durch den Besuch von unternehmensinternen Weiterbildungslehrgängen ihr Fachwissen vertieft. Sie verstand es stets, ihre kreativen Fähigkeiten innovativ in die Praxis umzusetzen.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kollegiales und ausgleichendes Wesen sicherte ihr stets ein gutes Verhältnis zu Vorgesetzten, Kollegen und Mitarbeitern. Unsere Kunden hat Frau Musterfrau mit der erforderlichen Höflichkeit bedient.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bedanken uns für die Tätigkeit in unserem Unternehmen und wünschen Frau Musterfrau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