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01.01.1990 in Hamburg, war vom 18.09.2020 bis zum 30.06.2023 in unserem Unternehmen in der Lageristik am Standort Hamburg tätig. Sie arbeitete als Fachlageristin.</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Musterfrau verantwortete als Fachlageristin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und Durchführung von Transporten und Lieferungen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Workshops und Trainings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Aktualisierung von Kundenstammdaten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Zusammenarbeit mit Kunden und Lieferanten zur Verbesserung der Qualität der Produkte und Dienstleistungen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Bestands- und Lagerkontrollen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Schulungen und Weiterbildungen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Abwicklung von Bestellungen und Lieferungen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verfügt über ein gutes, weit reichendes Fachwissen, welches sie in der Praxis stets erfolgreich einsetzte. Frau Musterfrau nutzte alle gebotenen Möglichkeiten zur beruflichen Weiterbildung intensiv und erfolgreich. Besonders hervorzuheben ist ihre Fähigkeit, komplexe Sachverhalte schnell zu erfassen und zu analysieren. Somit konnte sie stets gute Ergebnisse erzielen. Frau Musterfrau war auch starken Arbeitsbelastungen jederzeit gewachsen. Frau Musterfrau zeichnete sich stets durch eine gute Arbeitsweise aus. Die Arbeitsqualität lag weit über den Anforderungen. Neue Aufgaben und Probleme nahm Frau Musterfrau zielstrebig in Angriff und führte sie stets zu guten Lösungen. Frau Musterfrau war eine einsatzfreudige und agile Mitarbeiterin mit stets guter Arbeitsauffassung, die die gesetzten Ziele zielstrebig realisierte. Die Anforderungen der Stelle und unsere Erwartung übertraf Frau Musterfrau in hohem Maße, so dass wir mit ihren Leistungen stets voll zufrieden waren. Hervorzuheben war ihre sehr gute Eignung für interdisziplinäre Teamarbeit. Dank ihrer hohen Flexibilität beherrschte Frau Musterfrau auch komplexe Aufgabenstellungen par excellence. Eigenverantwortliches, selbständiges Handeln war für Frau Musterfrau in ihrem Aufgabenbereich immer selbstverständlich.</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persönliches Verhalten war jederzeit einwandfrei. In ihrem Umgang mit Vorgesetzten, Kollegen und Mitarbeitern verstand sie es, eine vertrauensvolle und offene Atmosphäre zu schaffen. Aufgrund ihrer freundlichen und hilfsbereiten Art war sie bei unseren Kunden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Am 30.06.2023 endet das Arbeitsverhältnis im besten beiderseitigen und freundschaftlichen Einvernehmen. Wir können Frau Musterfrau, die sich um unser Unternehmen sehr verdient gemacht hat, fachlich und persönlich bestens empfehlen. Wir danken ihr für das stets angenehme Arbeits- und Vertrauensverhältnis, bedauern ihr Ausscheiden und wünschen ihr für die berufliche und private Zukunft alles Gute und weiterhin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