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10.01.1989 in Hamburg, war vom 24.04.2022 bis zum 20.06.2023 als Elektriker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Herrn Mustermanns Aufgabenbereich als Elektriker umfasste im Wesentlichen: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Montage und Inbetriebnahme von elektrischen Maschinen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Überwachung und Kontrolle von technischen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Messungen und Prüfungen an elektrischen Anlagen und Geräten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und Unterstützung bei der Optimierung von Energieeffizienzmaßnahmen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Bestellung und Beschaffung von Material und Ersatzteilen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technischen Dokumentationen und Berichten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Wartung und Instandhaltung von elektrischen Anlagen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beherrschte alle erforderlichen Fertigkeiten und Kenntnisse gut. In neuen Situationen fand sich Herr Mustermann gut zurecht. Herr Mustermann war oft belastbar und somit eine Hilfe für seinen Arbeitsbereich. Wir können die Arbeitsweise von Herrn Mustermann als ausreichend bezeichnen. Seine Aufgaben erledigte er termingerecht und auch die Qualität seiner Arbeitsergebnisse erfüllte in vollem Umfang die Arbeitsanforderung. Herr Mustermann hatte eine gute Arbeitsauffassung. Durch seine aktive Einstellung in Verbindung mit seinen guten Kenntnissen führte Herr Mustermann seine Aufgaben stets zu unserer Zufriedenheit durch.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Durch seine guten Umgangsformen und seine zuvorkommende Art wurde er von seinen Vorgesetzten, Kollegen und Mitarbeitern geschätzt. Aufgrund seiner freundlichen und hilfsbereiten Art war er bei unseren Kunden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20.06.2023. Wir bedanken uns für die Tätigkeit in unserem Unternehmen und wünschen Herrn Mustermann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20.06.2023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